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B8C9" w14:textId="299DF842"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E805CF">
        <w:rPr>
          <w:rFonts w:ascii="Times New Roman" w:hAnsi="Times New Roman"/>
        </w:rPr>
        <w:t xml:space="preserve"> #5</w:t>
      </w:r>
      <w:r w:rsidR="0013000C">
        <w:rPr>
          <w:rFonts w:ascii="Times New Roman" w:hAnsi="Times New Roman"/>
        </w:rPr>
        <w:br/>
      </w:r>
    </w:p>
    <w:p w14:paraId="3718E3BE" w14:textId="177AE13A" w:rsidR="002965E6" w:rsidRPr="0093245E" w:rsidRDefault="001C33C1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Name: Laneise Scharback </w:t>
      </w:r>
      <w:r w:rsidR="002965E6"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                   Date: March 1</w:t>
      </w:r>
      <w:r w:rsidR="00E805CF">
        <w:rPr>
          <w:b/>
          <w:lang w:val="en-US"/>
        </w:rPr>
        <w:t>6</w:t>
      </w:r>
      <w:r w:rsidRPr="001C33C1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2018</w:t>
      </w:r>
    </w:p>
    <w:p w14:paraId="50E5B901" w14:textId="77777777"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</w:t>
      </w:r>
      <w:r w:rsidR="001C33C1">
        <w:rPr>
          <w:b/>
          <w:lang w:val="en-US"/>
        </w:rPr>
        <w:t>: Social Studies</w:t>
      </w:r>
      <w:r w:rsidR="0093245E">
        <w:rPr>
          <w:b/>
          <w:lang w:val="en-US"/>
        </w:rPr>
        <w:t xml:space="preserve">                 </w:t>
      </w:r>
      <w:r w:rsidR="001C33C1">
        <w:rPr>
          <w:b/>
          <w:lang w:val="en-US"/>
        </w:rPr>
        <w:t xml:space="preserve">                                 Grade: 6/7</w:t>
      </w:r>
    </w:p>
    <w:p w14:paraId="17F7320F" w14:textId="77777777"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52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719"/>
      </w:tblGrid>
      <w:tr w:rsidR="0093245E" w:rsidRPr="0093245E" w14:paraId="28E33D1C" w14:textId="77777777" w:rsidTr="00433CAE">
        <w:trPr>
          <w:cantSplit/>
          <w:trHeight w:val="864"/>
          <w:jc w:val="center"/>
        </w:trPr>
        <w:tc>
          <w:tcPr>
            <w:tcW w:w="10526" w:type="dxa"/>
            <w:gridSpan w:val="2"/>
          </w:tcPr>
          <w:p w14:paraId="01482300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Essential Question </w:t>
            </w:r>
            <w:r w:rsidRPr="0093245E">
              <w:rPr>
                <w:lang w:val="en-US"/>
              </w:rPr>
              <w:t xml:space="preserve">(guiding </w:t>
            </w:r>
            <w:r>
              <w:rPr>
                <w:lang w:val="en-US"/>
              </w:rPr>
              <w:t xml:space="preserve">overall </w:t>
            </w:r>
            <w:r w:rsidRPr="0093245E">
              <w:rPr>
                <w:lang w:val="en-US"/>
              </w:rPr>
              <w:t>unit of study):</w:t>
            </w:r>
            <w:r w:rsidRPr="0093245E">
              <w:rPr>
                <w:b/>
                <w:lang w:val="en-US"/>
              </w:rPr>
              <w:t xml:space="preserve"> </w:t>
            </w:r>
            <w:r w:rsidR="001C33C1">
              <w:rPr>
                <w:b/>
                <w:lang w:val="en-US"/>
              </w:rPr>
              <w:t>Why are Relationships Important?</w:t>
            </w:r>
          </w:p>
          <w:p w14:paraId="4773574B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2EE8BD1A" w14:textId="2DDA19A0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1C33C1">
              <w:rPr>
                <w:lang w:val="en-US"/>
              </w:rPr>
              <w:t xml:space="preserve"> </w:t>
            </w:r>
            <w:r w:rsidR="00E805CF" w:rsidRPr="00E805CF">
              <w:rPr>
                <w:b/>
                <w:lang w:val="en-US"/>
              </w:rPr>
              <w:t>What is the relationship between power and authority?</w:t>
            </w:r>
          </w:p>
          <w:p w14:paraId="31AB601E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1693384A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14:paraId="685CCE23" w14:textId="77777777" w:rsidTr="00433CAE">
        <w:trPr>
          <w:cantSplit/>
          <w:trHeight w:val="1407"/>
          <w:jc w:val="center"/>
        </w:trPr>
        <w:tc>
          <w:tcPr>
            <w:tcW w:w="5807" w:type="dxa"/>
          </w:tcPr>
          <w:p w14:paraId="30AC26ED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14:paraId="575E1E13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50B49FC9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3C62B68A" w14:textId="77777777" w:rsidR="0018666C" w:rsidRPr="001C33C1" w:rsidRDefault="001C33C1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lang w:val="en-US"/>
              </w:rPr>
            </w:pPr>
            <w:r w:rsidRPr="001C33C1">
              <w:rPr>
                <w:rFonts w:asciiTheme="majorHAnsi" w:hAnsiTheme="majorHAnsi"/>
                <w:b/>
                <w:lang w:val="en-US"/>
              </w:rPr>
              <w:t xml:space="preserve">PA6.1- </w:t>
            </w:r>
            <w:r w:rsidRPr="001C33C1">
              <w:rPr>
                <w:rFonts w:asciiTheme="majorHAnsi" w:hAnsiTheme="majorHAnsi"/>
                <w:color w:val="000000"/>
                <w:szCs w:val="18"/>
                <w:shd w:val="clear" w:color="auto" w:fill="FFFFFF"/>
              </w:rPr>
              <w:t>Examine the relationship between an individual's power and authority and the power and authority of others.</w:t>
            </w:r>
          </w:p>
          <w:p w14:paraId="3201A1C7" w14:textId="77777777" w:rsidR="00500F92" w:rsidRPr="0093245E" w:rsidRDefault="00500F92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19" w:type="dxa"/>
          </w:tcPr>
          <w:p w14:paraId="03A81A60" w14:textId="77777777" w:rsidR="0018666C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14:paraId="63088880" w14:textId="77777777" w:rsidR="001C33C1" w:rsidRDefault="001C33C1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2C8B61DC" w14:textId="77777777" w:rsidR="00956FAC" w:rsidRPr="00956FAC" w:rsidRDefault="00956FAC" w:rsidP="00956FAC">
            <w:pPr>
              <w:rPr>
                <w:rFonts w:asciiTheme="majorHAnsi" w:hAnsiTheme="majorHAnsi"/>
              </w:rPr>
            </w:pPr>
            <w:r w:rsidRPr="00956FAC">
              <w:rPr>
                <w:rFonts w:asciiTheme="majorHAnsi" w:hAnsiTheme="majorHAnsi"/>
                <w:b/>
              </w:rPr>
              <w:t>(</w:t>
            </w:r>
            <w:proofErr w:type="gramStart"/>
            <w:r w:rsidRPr="00956FAC">
              <w:rPr>
                <w:rFonts w:asciiTheme="majorHAnsi" w:hAnsiTheme="majorHAnsi"/>
                <w:b/>
              </w:rPr>
              <w:t>c</w:t>
            </w:r>
            <w:proofErr w:type="gramEnd"/>
            <w:r w:rsidRPr="00956FAC">
              <w:rPr>
                <w:rFonts w:asciiTheme="majorHAnsi" w:hAnsiTheme="majorHAnsi"/>
                <w:b/>
              </w:rPr>
              <w:t xml:space="preserve">)- </w:t>
            </w:r>
            <w:r w:rsidRPr="00956FAC">
              <w:rPr>
                <w:rFonts w:asciiTheme="majorHAnsi" w:hAnsiTheme="majorHAnsi"/>
                <w:color w:val="000000"/>
                <w:shd w:val="clear" w:color="auto" w:fill="FFFFFF"/>
              </w:rPr>
              <w:t>Determine traits common to individuals who are perceived as effective leaders in a variety of contexts in the local, provincial, territorial, national, or international arena.</w:t>
            </w:r>
          </w:p>
          <w:p w14:paraId="27C1AA0D" w14:textId="77777777" w:rsidR="001C33C1" w:rsidRDefault="00956FAC" w:rsidP="00956FAC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  <w:r w:rsidRPr="00956FAC">
              <w:rPr>
                <w:rFonts w:asciiTheme="majorHAnsi" w:hAnsiTheme="majorHAnsi"/>
                <w:b/>
              </w:rPr>
              <w:t>(</w:t>
            </w:r>
            <w:proofErr w:type="gramStart"/>
            <w:r w:rsidRPr="00956FAC">
              <w:rPr>
                <w:rFonts w:asciiTheme="majorHAnsi" w:hAnsiTheme="majorHAnsi"/>
                <w:b/>
              </w:rPr>
              <w:t>d</w:t>
            </w:r>
            <w:proofErr w:type="gramEnd"/>
            <w:r w:rsidRPr="00956FAC">
              <w:rPr>
                <w:rFonts w:asciiTheme="majorHAnsi" w:hAnsiTheme="majorHAnsi"/>
                <w:b/>
              </w:rPr>
              <w:t xml:space="preserve">)- </w:t>
            </w:r>
            <w:r w:rsidRPr="00956FAC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Identify and examine the characteristics of local, provincial, national, and international leaders and organizations in order to </w:t>
            </w:r>
            <w:r w:rsidRPr="00956FAC">
              <w:rPr>
                <w:rFonts w:asciiTheme="majorHAnsi" w:hAnsiTheme="majorHAnsi"/>
                <w:color w:val="000000"/>
              </w:rPr>
              <w:t>show the relationship between the power and authority of those individuals and organizations, and the power and authority of others</w:t>
            </w:r>
          </w:p>
          <w:p w14:paraId="1EA984EA" w14:textId="61D1A5F0" w:rsidR="00106D98" w:rsidRPr="00956FAC" w:rsidRDefault="00106D98" w:rsidP="00956FAC">
            <w:pPr>
              <w:spacing w:before="100" w:beforeAutospacing="1" w:after="100" w:afterAutospacing="1"/>
              <w:rPr>
                <w:rFonts w:asciiTheme="majorHAnsi" w:hAnsiTheme="majorHAnsi"/>
                <w:color w:val="000000"/>
              </w:rPr>
            </w:pPr>
          </w:p>
        </w:tc>
      </w:tr>
      <w:tr w:rsidR="002965E6" w:rsidRPr="0093245E" w14:paraId="6778409F" w14:textId="77777777" w:rsidTr="001C33C1">
        <w:trPr>
          <w:cantSplit/>
          <w:trHeight w:val="816"/>
          <w:jc w:val="center"/>
        </w:trPr>
        <w:tc>
          <w:tcPr>
            <w:tcW w:w="10526" w:type="dxa"/>
            <w:gridSpan w:val="2"/>
          </w:tcPr>
          <w:p w14:paraId="4B5CF958" w14:textId="6ADC50F8" w:rsidR="0093245E" w:rsidRPr="0093245E" w:rsidRDefault="00267C47" w:rsidP="009324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14:paraId="42D7C639" w14:textId="77777777" w:rsidR="000C6484" w:rsidRDefault="001C33C1" w:rsidP="00E805CF">
            <w:r>
              <w:t xml:space="preserve">During: </w:t>
            </w:r>
            <w:r w:rsidR="00956FAC">
              <w:t>Handout on character traits of leaders</w:t>
            </w:r>
          </w:p>
          <w:p w14:paraId="2A62B4DF" w14:textId="77777777" w:rsidR="00956FAC" w:rsidRDefault="00956FAC" w:rsidP="00E805CF">
            <w:r>
              <w:t xml:space="preserve">After: Exit slip connecting these leaders to force, authority, and influence </w:t>
            </w:r>
          </w:p>
          <w:p w14:paraId="48D67CA2" w14:textId="211B3940" w:rsidR="00106D98" w:rsidRPr="0093245E" w:rsidRDefault="00106D98" w:rsidP="00E805CF"/>
        </w:tc>
      </w:tr>
      <w:tr w:rsidR="002965E6" w:rsidRPr="0093245E" w14:paraId="1263DE9F" w14:textId="77777777" w:rsidTr="00433CAE">
        <w:trPr>
          <w:cantSplit/>
          <w:trHeight w:val="795"/>
          <w:jc w:val="center"/>
        </w:trPr>
        <w:tc>
          <w:tcPr>
            <w:tcW w:w="10526" w:type="dxa"/>
            <w:gridSpan w:val="2"/>
          </w:tcPr>
          <w:p w14:paraId="0B53F193" w14:textId="77777777"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14:paraId="4D9EB8FE" w14:textId="611C83F2" w:rsidR="001C33C1" w:rsidRPr="001C33C1" w:rsidRDefault="001C33C1" w:rsidP="0093245E">
            <w:pPr>
              <w:rPr>
                <w:lang w:val="en-US"/>
              </w:rPr>
            </w:pPr>
            <w:r w:rsidRPr="001C33C1">
              <w:rPr>
                <w:lang w:val="en-US"/>
              </w:rPr>
              <w:t>-</w:t>
            </w:r>
            <w:r w:rsidR="00956FAC">
              <w:rPr>
                <w:lang w:val="en-US"/>
              </w:rPr>
              <w:t>Popcorn reading as a class</w:t>
            </w:r>
            <w:r w:rsidRPr="001C33C1">
              <w:rPr>
                <w:lang w:val="en-US"/>
              </w:rPr>
              <w:t xml:space="preserve"> </w:t>
            </w:r>
          </w:p>
          <w:p w14:paraId="5D2BCA5A" w14:textId="5AB7C062" w:rsidR="00500F92" w:rsidRPr="001C33C1" w:rsidRDefault="001C33C1" w:rsidP="0093245E">
            <w:pPr>
              <w:rPr>
                <w:lang w:val="en-US"/>
              </w:rPr>
            </w:pPr>
            <w:r w:rsidRPr="001C33C1">
              <w:rPr>
                <w:lang w:val="en-US"/>
              </w:rPr>
              <w:t xml:space="preserve">-Direct Instruction </w:t>
            </w:r>
            <w:r w:rsidR="00CC7D1B">
              <w:rPr>
                <w:lang w:val="en-US"/>
              </w:rPr>
              <w:t xml:space="preserve">for individual work </w:t>
            </w:r>
          </w:p>
          <w:p w14:paraId="73FED5FA" w14:textId="77777777" w:rsidR="0093245E" w:rsidRPr="0093245E" w:rsidRDefault="0093245E" w:rsidP="0093245E">
            <w:pPr>
              <w:rPr>
                <w:b/>
                <w:lang w:val="en-US"/>
              </w:rPr>
            </w:pPr>
          </w:p>
        </w:tc>
      </w:tr>
      <w:tr w:rsidR="002965E6" w:rsidRPr="0093245E" w14:paraId="7A4B31B1" w14:textId="77777777" w:rsidTr="00433CAE">
        <w:trPr>
          <w:cantSplit/>
          <w:trHeight w:val="975"/>
          <w:jc w:val="center"/>
        </w:trPr>
        <w:tc>
          <w:tcPr>
            <w:tcW w:w="10526" w:type="dxa"/>
            <w:gridSpan w:val="2"/>
          </w:tcPr>
          <w:p w14:paraId="1C60248C" w14:textId="77777777" w:rsidR="002965E6" w:rsidRDefault="00A05E48" w:rsidP="00CC7D1B">
            <w:pPr>
              <w:rPr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14:paraId="714BDD49" w14:textId="77777777" w:rsidR="00A34992" w:rsidRPr="0093245E" w:rsidRDefault="00A34992" w:rsidP="00CC7D1B">
            <w:pPr>
              <w:rPr>
                <w:b/>
                <w:lang w:val="en-US"/>
              </w:rPr>
            </w:pPr>
          </w:p>
          <w:p w14:paraId="2F66DDD6" w14:textId="2288B31B" w:rsidR="0093245E" w:rsidRPr="00A34992" w:rsidRDefault="00A34992" w:rsidP="00CC7D1B">
            <w:pPr>
              <w:rPr>
                <w:b/>
                <w:lang w:val="en-US"/>
              </w:rPr>
            </w:pPr>
            <w:r w:rsidRPr="00A34992">
              <w:rPr>
                <w:rFonts w:cstheme="minorHAnsi"/>
              </w:rPr>
              <w:t>Providing a copy of notes to students when presenting (Instruction), Activate and build on background knowledge (Instruction)</w:t>
            </w:r>
            <w:r w:rsidRPr="00A34992">
              <w:rPr>
                <w:rFonts w:cstheme="minorHAnsi"/>
                <w:b/>
              </w:rPr>
              <w:t xml:space="preserve">, </w:t>
            </w:r>
            <w:r w:rsidRPr="00A34992">
              <w:rPr>
                <w:rFonts w:cstheme="minorHAnsi"/>
              </w:rPr>
              <w:t>Advanced resource materials (notes) (Content), Provide graphic organizers (Process)</w:t>
            </w:r>
          </w:p>
          <w:p w14:paraId="2E186E46" w14:textId="77777777" w:rsidR="0093245E" w:rsidRPr="0093245E" w:rsidRDefault="0093245E" w:rsidP="00E805CF">
            <w:pPr>
              <w:rPr>
                <w:b/>
                <w:lang w:val="en-US"/>
              </w:rPr>
            </w:pPr>
          </w:p>
        </w:tc>
      </w:tr>
      <w:tr w:rsidR="002965E6" w:rsidRPr="0093245E" w14:paraId="7F526194" w14:textId="77777777" w:rsidTr="00A34992">
        <w:trPr>
          <w:cantSplit/>
          <w:trHeight w:val="1346"/>
          <w:jc w:val="center"/>
        </w:trPr>
        <w:tc>
          <w:tcPr>
            <w:tcW w:w="10526" w:type="dxa"/>
            <w:gridSpan w:val="2"/>
          </w:tcPr>
          <w:p w14:paraId="31BE5155" w14:textId="221767CE" w:rsidR="000C6484" w:rsidRDefault="0093245E" w:rsidP="00500F92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lastRenderedPageBreak/>
              <w:t>Materials Needed:</w:t>
            </w:r>
          </w:p>
          <w:p w14:paraId="3196ABF4" w14:textId="1DC4FC2A" w:rsidR="00E805CF" w:rsidRPr="00A34992" w:rsidRDefault="00A34992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A34992">
              <w:rPr>
                <w:lang w:val="en-US"/>
              </w:rPr>
              <w:t xml:space="preserve">Handouts for students (Notes on levels of government, organizer for traits, exit slip) </w:t>
            </w:r>
          </w:p>
          <w:p w14:paraId="42C13F78" w14:textId="77777777" w:rsidR="00A34992" w:rsidRPr="00A34992" w:rsidRDefault="00A34992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>Smart board for video (hook)</w:t>
            </w:r>
          </w:p>
          <w:p w14:paraId="612450C1" w14:textId="29853E27" w:rsidR="001C33C1" w:rsidRPr="00A34992" w:rsidRDefault="00A34992" w:rsidP="00A34992">
            <w:pPr>
              <w:pStyle w:val="ListParagraph"/>
              <w:numPr>
                <w:ilvl w:val="0"/>
                <w:numId w:val="2"/>
              </w:num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>Whit board to write guising question for the lesson</w:t>
            </w:r>
          </w:p>
        </w:tc>
      </w:tr>
      <w:tr w:rsidR="0018666C" w:rsidRPr="0093245E" w14:paraId="05AE8F9F" w14:textId="77777777" w:rsidTr="00A34992">
        <w:trPr>
          <w:cantSplit/>
          <w:trHeight w:val="5759"/>
          <w:jc w:val="center"/>
        </w:trPr>
        <w:tc>
          <w:tcPr>
            <w:tcW w:w="10526" w:type="dxa"/>
            <w:gridSpan w:val="2"/>
          </w:tcPr>
          <w:p w14:paraId="3CE32213" w14:textId="59218F44" w:rsidR="00A34992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Learning Experiences:</w:t>
            </w:r>
            <w:r w:rsidR="003D2DE1">
              <w:rPr>
                <w:b/>
                <w:lang w:val="en-US"/>
              </w:rPr>
              <w:t xml:space="preserve"> 45 minute lesson</w:t>
            </w:r>
            <w:r w:rsidR="0013000C">
              <w:rPr>
                <w:b/>
                <w:lang w:val="en-US"/>
              </w:rPr>
              <w:br/>
            </w:r>
            <w:r w:rsidR="003D2DE1" w:rsidRPr="003D2DE1">
              <w:rPr>
                <w:lang w:val="en-US"/>
              </w:rPr>
              <w:t>-Write the guiding question at the top of the board</w:t>
            </w:r>
          </w:p>
          <w:p w14:paraId="00E1F356" w14:textId="21D819C4" w:rsidR="003D2DE1" w:rsidRDefault="00A34992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lang w:val="en-US"/>
              </w:rPr>
              <w:t>-Ask the students to take out their duotangs</w:t>
            </w:r>
            <w:r w:rsidR="0018666C">
              <w:rPr>
                <w:b/>
                <w:lang w:val="en-US"/>
              </w:rPr>
              <w:br/>
            </w:r>
          </w:p>
          <w:p w14:paraId="16766E45" w14:textId="6622501C" w:rsidR="0018666C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Set (</w:t>
            </w:r>
            <w:r w:rsidR="00A34992">
              <w:rPr>
                <w:b/>
                <w:lang w:val="en-US"/>
              </w:rPr>
              <w:t>5</w:t>
            </w:r>
            <w:r w:rsidR="00CC7D1B">
              <w:rPr>
                <w:b/>
                <w:lang w:val="en-US"/>
              </w:rPr>
              <w:t xml:space="preserve"> </w:t>
            </w:r>
            <w:r w:rsidRPr="0093245E">
              <w:rPr>
                <w:b/>
                <w:lang w:val="en-US"/>
              </w:rPr>
              <w:t>min)</w:t>
            </w:r>
          </w:p>
          <w:p w14:paraId="77AE2798" w14:textId="015BACAA" w:rsidR="00A34992" w:rsidRDefault="00A34992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>Show the students a video on the levels of government (</w:t>
            </w:r>
            <w:hyperlink r:id="rId6" w:history="1">
              <w:r w:rsidRPr="00DA16A2">
                <w:rPr>
                  <w:rStyle w:val="Hyperlink"/>
                  <w:rFonts w:cstheme="minorHAnsi"/>
                </w:rPr>
                <w:t>https://www.youtube.com/watch?v=AVE3OsR5W-0</w:t>
              </w:r>
            </w:hyperlink>
            <w:r>
              <w:rPr>
                <w:rFonts w:cstheme="minorHAnsi"/>
              </w:rPr>
              <w:t xml:space="preserve">) </w:t>
            </w:r>
          </w:p>
          <w:p w14:paraId="34FBAC3B" w14:textId="77777777" w:rsidR="00A34992" w:rsidRPr="00A34992" w:rsidRDefault="00A34992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134F3521" w14:textId="77777777" w:rsidR="0018666C" w:rsidRPr="0093245E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60B5DD79" w14:textId="7D1E6C67" w:rsidR="0018666C" w:rsidRPr="0093245E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Development (</w:t>
            </w:r>
            <w:r w:rsidR="00EC584E">
              <w:rPr>
                <w:b/>
                <w:lang w:val="en-US"/>
              </w:rPr>
              <w:t>3</w:t>
            </w:r>
            <w:r w:rsidR="00A34992">
              <w:rPr>
                <w:b/>
                <w:lang w:val="en-US"/>
              </w:rPr>
              <w:t>0</w:t>
            </w:r>
            <w:r w:rsidR="00CC7D1B">
              <w:rPr>
                <w:b/>
                <w:lang w:val="en-US"/>
              </w:rPr>
              <w:t xml:space="preserve"> </w:t>
            </w:r>
            <w:r w:rsidRPr="0093245E">
              <w:rPr>
                <w:b/>
                <w:lang w:val="en-US"/>
              </w:rPr>
              <w:t>min</w:t>
            </w:r>
            <w:r w:rsidR="00CC7D1B">
              <w:rPr>
                <w:b/>
                <w:lang w:val="en-US"/>
              </w:rPr>
              <w:t>utes</w:t>
            </w:r>
            <w:r w:rsidRPr="0093245E">
              <w:rPr>
                <w:b/>
                <w:lang w:val="en-US"/>
              </w:rPr>
              <w:t>)</w:t>
            </w:r>
          </w:p>
          <w:p w14:paraId="0FB5433A" w14:textId="307FDCE9" w:rsidR="00EC584E" w:rsidRDefault="00A34992" w:rsidP="00E805CF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-Have one representative from each table come to the front and collect the handout on traits as well as the no</w:t>
            </w:r>
            <w:r w:rsidR="006E2B24">
              <w:rPr>
                <w:color w:val="000000" w:themeColor="text1"/>
                <w:lang w:val="en-US"/>
              </w:rPr>
              <w:t xml:space="preserve">tes that we will read together for each person at their table. </w:t>
            </w:r>
            <w:bookmarkStart w:id="0" w:name="_GoBack"/>
            <w:bookmarkEnd w:id="0"/>
          </w:p>
          <w:p w14:paraId="7A613144" w14:textId="3DF2BEA5" w:rsidR="00A34992" w:rsidRDefault="00A34992" w:rsidP="00E805CF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-Read the notes on the levels of government as a class. We will do this in the form of “popcorn reading” where various students take turn reading a paragraph (15 minutes) </w:t>
            </w:r>
          </w:p>
          <w:p w14:paraId="24888600" w14:textId="24898179" w:rsidR="00A34992" w:rsidRDefault="00A34992" w:rsidP="00E805CF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-Provide the students with 15 minutes to complete the handout on traits of leaders. Explain to the students that they can use their laptops if they want to. </w:t>
            </w:r>
          </w:p>
          <w:p w14:paraId="1B708926" w14:textId="57E4A4B4" w:rsidR="0018666C" w:rsidRPr="0093245E" w:rsidRDefault="0018666C" w:rsidP="00CC7D1B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0292A5DA" w14:textId="77777777" w:rsidR="0018666C" w:rsidRPr="0093245E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4EF1422F" w14:textId="74DF3581" w:rsidR="0018666C" w:rsidRPr="0093245E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Closure (</w:t>
            </w:r>
            <w:r w:rsidR="00A34992">
              <w:rPr>
                <w:b/>
                <w:lang w:val="en-US"/>
              </w:rPr>
              <w:t>10</w:t>
            </w:r>
            <w:r w:rsidR="00A05E48">
              <w:rPr>
                <w:b/>
                <w:lang w:val="en-US"/>
              </w:rPr>
              <w:t xml:space="preserve"> </w:t>
            </w:r>
            <w:r w:rsidRPr="0093245E">
              <w:rPr>
                <w:b/>
                <w:lang w:val="en-US"/>
              </w:rPr>
              <w:t>min)</w:t>
            </w:r>
          </w:p>
          <w:p w14:paraId="634133F7" w14:textId="591EF013" w:rsidR="0018666C" w:rsidRDefault="00A34992" w:rsidP="00CC7D1B">
            <w:r>
              <w:t xml:space="preserve">-Hand out an exit slip to students and have them fill it out. </w:t>
            </w:r>
          </w:p>
          <w:p w14:paraId="32148AE7" w14:textId="77820B40" w:rsidR="00A34992" w:rsidRPr="0093245E" w:rsidRDefault="00A34992" w:rsidP="00CC7D1B">
            <w:r>
              <w:t xml:space="preserve">-Remind the students to put all three handouts from today in their clear duotangs and hand them in to the back hand-in box for Miss Scharback </w:t>
            </w:r>
          </w:p>
          <w:p w14:paraId="5773847D" w14:textId="77777777" w:rsidR="0018666C" w:rsidRPr="0093245E" w:rsidRDefault="0018666C" w:rsidP="00CC7D1B">
            <w:pPr>
              <w:rPr>
                <w:b/>
                <w:lang w:val="en-US"/>
              </w:rPr>
            </w:pPr>
          </w:p>
        </w:tc>
      </w:tr>
    </w:tbl>
    <w:p w14:paraId="14C882EF" w14:textId="77777777" w:rsidR="001F14AB" w:rsidRPr="0093245E" w:rsidRDefault="001F14AB"/>
    <w:sectPr w:rsidR="001F14AB" w:rsidRPr="0093245E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74D"/>
    <w:multiLevelType w:val="multilevel"/>
    <w:tmpl w:val="CA3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0A16DD"/>
    <w:multiLevelType w:val="hybridMultilevel"/>
    <w:tmpl w:val="1506CD4E"/>
    <w:lvl w:ilvl="0" w:tplc="7226B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6"/>
    <w:rsid w:val="000A372D"/>
    <w:rsid w:val="000C428B"/>
    <w:rsid w:val="000C6484"/>
    <w:rsid w:val="00106D98"/>
    <w:rsid w:val="0011764D"/>
    <w:rsid w:val="0013000C"/>
    <w:rsid w:val="0018666C"/>
    <w:rsid w:val="001C33C1"/>
    <w:rsid w:val="001F14AB"/>
    <w:rsid w:val="00267C47"/>
    <w:rsid w:val="002965E6"/>
    <w:rsid w:val="003D2DE1"/>
    <w:rsid w:val="00433CAE"/>
    <w:rsid w:val="00463185"/>
    <w:rsid w:val="004C004F"/>
    <w:rsid w:val="00500F92"/>
    <w:rsid w:val="005E34E0"/>
    <w:rsid w:val="006E2B24"/>
    <w:rsid w:val="008E1EDD"/>
    <w:rsid w:val="0093245E"/>
    <w:rsid w:val="00956FAC"/>
    <w:rsid w:val="009F494E"/>
    <w:rsid w:val="00A05E48"/>
    <w:rsid w:val="00A34992"/>
    <w:rsid w:val="00A86699"/>
    <w:rsid w:val="00CC7D1B"/>
    <w:rsid w:val="00D16BA2"/>
    <w:rsid w:val="00D731BC"/>
    <w:rsid w:val="00E15476"/>
    <w:rsid w:val="00E805CF"/>
    <w:rsid w:val="00EC584E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6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A3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A34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VE3OsR5W-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Laneise Scharback</cp:lastModifiedBy>
  <cp:revision>13</cp:revision>
  <cp:lastPrinted>2014-03-06T21:21:00Z</cp:lastPrinted>
  <dcterms:created xsi:type="dcterms:W3CDTF">2018-03-15T23:45:00Z</dcterms:created>
  <dcterms:modified xsi:type="dcterms:W3CDTF">2018-03-16T00:42:00Z</dcterms:modified>
</cp:coreProperties>
</file>